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C" w:rsidRPr="002F15FC" w:rsidRDefault="002F15FC" w:rsidP="002F15FC">
      <w:pPr>
        <w:spacing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253A58"/>
          <w:sz w:val="48"/>
          <w:szCs w:val="48"/>
          <w:lang w:eastAsia="ru-RU"/>
        </w:rPr>
      </w:pPr>
      <w:bookmarkStart w:id="0" w:name="_GoBack"/>
      <w:r w:rsidRPr="002F15FC">
        <w:rPr>
          <w:rFonts w:ascii="Tahoma" w:eastAsia="Times New Roman" w:hAnsi="Tahoma" w:cs="Tahoma"/>
          <w:b/>
          <w:bCs/>
          <w:color w:val="0B5394"/>
          <w:sz w:val="48"/>
          <w:szCs w:val="48"/>
          <w:bdr w:val="none" w:sz="0" w:space="0" w:color="auto" w:frame="1"/>
          <w:lang w:eastAsia="ru-RU"/>
        </w:rPr>
        <w:t>Методичка начинающего косметолога</w:t>
      </w:r>
    </w:p>
    <w:bookmarkEnd w:id="0"/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Учебное пособие "Стандартизация процедуры коррекции возрастных изменений кожи верхней половины лица препаратом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Абоботулинического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токсина типа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" автор Красильникова О.Н.</w:t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right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На правах рукописи</w:t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Красильникова Ольга Николаевна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 xml:space="preserve">Научное обоснование совершенствования организации косметологической помощи  по направлению: </w:t>
      </w:r>
      <w:proofErr w:type="spellStart"/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ботулинотерапия</w:t>
      </w:r>
      <w:proofErr w:type="spellEnd"/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 лица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Актуальность исследования связана с интенсивным развитием  косметологической медицинской помощи, в том числе, по направлению: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лица. Увеличение среднего возраста и  стремление современного человека улучшить качество жизни, диктует потребность в  более активном применении научных знаний и технологических достижений для  борьбы с проявлениями старения.</w:t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Личный вклад автора в проведенное исследование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Автор принимал личное  непосредственное участие в разработке и реализации всех этапов диссертационной  работы, самостоятельно проводил анализ специальной медицинской литературы по  направлению исследования, разработал пакет документов для сбора первичной  информации, провел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выкопировку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из 9777 амбулаторных карт и провел анкетирование  232 пациентов базовой медицинской организации, затем осуществлял статистическую  обработку и научный анализ собранных материалов, разработал комплекс предложений  по совершенствованию организации и качества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косметологической помощи. Автором  подготовлены и опубликованы (в соавторстве) два учебных пособия. Доля личного  вклада автора в выполнение диссертации составляет не менее 90%.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Цель исследования: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 разработать и внедрить комплекс научно-обоснованных  мероприятий по совершенствованию организации проведения процедуры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лица, направленных на ее упорядочивание и объективизацию оценки для повышения клинической  эффективности и удовлетворенности пациентов.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Задачи исследования:</w:t>
      </w:r>
    </w:p>
    <w:p w:rsidR="002F15FC" w:rsidRPr="002F15FC" w:rsidRDefault="002F15FC" w:rsidP="002F15FC">
      <w:pPr>
        <w:numPr>
          <w:ilvl w:val="0"/>
          <w:numId w:val="1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Провести критический анализ организационных аспектов оказания  косметологической помощи на современном этапе, с учетом нормативного правового  обеспечения, в том числе по направлению: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 кожи верхней половины лица.</w:t>
      </w:r>
    </w:p>
    <w:p w:rsidR="002F15FC" w:rsidRPr="002F15FC" w:rsidRDefault="002F15FC" w:rsidP="002F15FC">
      <w:pPr>
        <w:numPr>
          <w:ilvl w:val="0"/>
          <w:numId w:val="1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Исследовать профильные медико-статистические параметры, характеризующие  взрослую популяцию в Нижегородской области, и оказание медицинской помощи по  специальности «косметология» базовой медицинской организацией.</w:t>
      </w:r>
    </w:p>
    <w:p w:rsidR="002F15FC" w:rsidRPr="002F15FC" w:rsidRDefault="002F15FC" w:rsidP="002F15FC">
      <w:pPr>
        <w:numPr>
          <w:ilvl w:val="0"/>
          <w:numId w:val="1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На основе общих подходов к оценке деятельности медицинской организации  провести анализ работы базовой косметологической поликлиники по оказанию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услуг  инъекционной терапии возрастных изменений кожи лица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.</w:t>
      </w:r>
    </w:p>
    <w:p w:rsidR="002F15FC" w:rsidRPr="002F15FC" w:rsidRDefault="002F15FC" w:rsidP="002F15FC">
      <w:pPr>
        <w:numPr>
          <w:ilvl w:val="0"/>
          <w:numId w:val="1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Путем анкетирования изучить социально-гигиенические характеристики,  особенности образа и условий жизни, способы и методы ухода за кожей лица пациента  косметологической поликлиники и представить его обобщенный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медико-социальный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портрет.</w:t>
      </w:r>
    </w:p>
    <w:p w:rsidR="002F15FC" w:rsidRPr="002F15FC" w:rsidRDefault="002F15FC" w:rsidP="002F15FC">
      <w:pPr>
        <w:numPr>
          <w:ilvl w:val="0"/>
          <w:numId w:val="1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Разработать и внедрить комплекс эффективных организационных мероприятий  по совершенствованию оказания услуги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 верхней половины лица, направленных на упорядочивание выполнения процедуры и  объективизацию оценки ее результатов.</w:t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Научная новизна исследования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На основе комплексного социально-гигиенического исследования  актуализирована необходимость совершенствования организации оказания  косметологических услуг по направлению: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 кожи верхней половины лица.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Получены новые, интерпретируемые в медико-демографическом аспекте данные  об обращаемости за косметологической помощью и спектре оказываемых услуг,  позволяющие обосновать, сформулировать и внедрить в практическую деятельность 6 профильной медицинской организации предложения по совершенствованию ведения и  формы учетной медицинской документации, по упорядочиванию процедуры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лица и объективизации оценки ее результатов.</w:t>
      </w:r>
      <w:proofErr w:type="gramEnd"/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Составлен интегральный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медико-социальный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портрет пациента  косметологической поликлиники, с учетом полученных социально-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гигиенических  характеристик, включающих особенности образа и условий жизни, состояния кожи лица  и способов (методов) ухода за ней, что позволяет врачу-косметологу вести адресную  работу и добиваться оптимальных результатов выполнения косметологических  процедур, а руководителю – повысить эффективность деятельности профильной медицинской организации в целом.  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Определены параметры объективизации оценки результатов процедуры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лица на основе шкалы  «Гармоничное лицо», математического моделирования и автоматизации процесса.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Впервые на основе математического моделирования воздействия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ботулотоксина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типа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при инъекционной коррекции возрастных изменений кожи лица, с учетом  исходной клинической картины, дозы препарата,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этапности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наблюдения и полученных  результатов, разработана программа для ЭВМ - как инновационный инструмент в  оценке качества, получено авторское свидетельство.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Научно обоснованы основные этапы эффективной организации оказания  изучаемого вида косметологических услуг, а именно: 1. проведение процедуры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предложенного Алгоритма; 2. заполнение формы амбулаторной карты пациента с  использованием специального вкладыша описательной клинической картины с  балльной оценкой на каждом этапе; 3. объективная оценка результата процедуры с  помощью прикладной компьютерной программы на основе математического моделирования, с использованием методики оценки по шкале «Гармоничное лицо»; 4.  обязательная последующая оценка удовлетворенности пациента оказанной  специализированной помощью.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Теоретическая и практическая значимость исследования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Проведенное исследование с учетом разностороннего анализа медико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статистических, медико-демографических и социально-гигиенических характеристик  пациентов косметологической клиники обеспечило разработку комплекса мероприятий,  7 направленных на совершенствование организации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 изменений кожи верхней половины лица, и как следствие – объективное повышение  эффективности оказываемых услуг и удовлетворенности пациентов.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Успешное внедрение предложенных организационных технологий в работу  базовой медицинской организации позволило конкретизировать объемы и направления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, добиться повышения эффективности услуги на основе объективизации ее результатов.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Практическое применение алгоритма проведения процедуры и методики оценки  по шкале «Гармоничное лицо» - как одного из этапов алгоритма - 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позволило провести  упорядочивание процедуры, обеспечить постоянный динамический контроль качества  медицинских услуг, определить индивидуальный терапевтический подход к каждому  пациенту, способствовало вовлечению его в процесс лечения с целью повышения его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комплаентности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и степени удовлетворенности результатами полученной медицинской  помощи.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Включение обязательного вкладыша в амбулаторную карту пациента  позволило проводить анализ эффективности процедуры на каждом этапе ее выполнения.  Внедрение перечисленных новаций позволили повысить социальную эффективность и  медицинскую результативность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. Использование авторской компьютерной программы, основанной на  математической модели оценки эффективности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, позволило автоматизировать и объективизировать оценку результата процедуры, что выразилось в  повышении удовлетворенности пациентов.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Внедрение актуализированной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этапности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оказания услуги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возрастных изменений кожи верхней половины лица позволяет вывести организацию  оказания данного вида услуг на новый уровень, соответствующий современному развитию медицинской науки и практики здравоохранения, позволяющий добиться  повышения качества услуги на основе оценки субъективной удовлетворенности  пациентов.</w:t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ОСНОВНОЕ СОДЕРЖАНИЕ РАБОТЫ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Во введении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 обоснованы актуальность, сформированы цель и задачи  диссертационного исследования, определена научная новизна, практическая значимость  работы, представлены основные положения, выносимые на защиту.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 первой главе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 проведен анализ отечественной и зарубежной литературы по теме  исследования. По итогам решения первой задачи следует отметить выявленное  отсутствие клинических рекомендаций в косметологии, а также стандартов оказания  отдельных видов косметологических процедур. Выявлено несовершенство содержания  учетных статистических форм применительно косметологической практике и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, что существенно затрудняет оценку качества выполненных процедур  и не позволяет строить прогноз в отношении дальнейших посещений, т.е. формировать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этапность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 оказании 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данной услуги. Источники литературы обновлялись на  протяжении всех этапов исследования.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Вторая глава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 диссертации посвящена описанию материала и методов  исследования. Диссертационное исследование проводилось в период с 2016 г. по 2021 г. по методологии системного подхода – от общего к частному. Поэтапно были изучены  данные литературы и нормативная база, степень разработанности и актуальность  проблемы, определены дизайн, концепция, предмет и объекты исследования, единицы  наблюдения и их репрезентативное число на каждом этапе работы. В диссертации были  12 последовательно применены классические социально-гигиенические и клинические  методы проведения исследования: статистические, социологические, метод  математического моделирования,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выкопировки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данных, осмотр, наблюдение.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Предметом исследования 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были определены: комплекс организационно управленческих подходов к совершенствованию косметологической помощи взрослому  населению Нижегородской области, клинико-статистическая характеристика эстетической и медицинской косметологии, медицинская услуга «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возрастных изменений кожи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верзней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половины лица».</w:t>
      </w:r>
      <w:proofErr w:type="gramEnd"/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 качестве </w:t>
      </w: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объекта исследования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 была выбрана система организации оказания  косметологической помощи взрослому населению, в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. по направлению: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лица.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Генеральная совокупность на различных этапах исследования определялась  как: совокупность обращений населения г. Нижнего Новгорода и Нижегородской  области в возрасте 18-65 лет по поводу класса болезней кожи и подкожной клетчатки в медицинские организации подчинения Министерства здравоохранения  Нижегородской области, а также совокупность обращений в базовую медицинскую  организацию за оказанием косметологических услуг за три года.</w:t>
      </w:r>
      <w:proofErr w:type="gramEnd"/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Единицы наблюдения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: пациенты базовой медицинской организации, случаи  заболеваемости болезнями кожи и подкожной клетчатки, случаи обращений за  косметологическими услугами; медицинская карта амбулаторного больного пациентов  (ф. 025/у-04).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Методы исследования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: математико-статистические, социологические,  аналитический, непосредственного наблюдения,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выкопировки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данных, метод  математического моделирования.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 третьей главе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 диссертационной работы было определено следующее: после  роста уровня распространенности класса болезней кожи и подкожной клетчатки с 2000  по 2010 годы, в последние 3-4 года наблюдается снижение и стабилизация данного  показателя: в РФ темп прироста - 11,6%, до 5673,8 на 100 тыс. чел., в НО – до 5706,7 на  100 тыс. чел. (2018г.).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Уровень первичной заболеваемости с 2000 г. по 2010 г.  увеличивался примерно такими же темпами (на 9,4%), и составил в 2018 г. 4028,7 на 100  тыс. чел., 3898,9 на 100 тыс. - в НО (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&lt;0,001).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Обеспеченность врачами-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дерматовенерологами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и в РФ, и в Нижегородской  области имела обратную тенденцию, составив в 2018г. 0,55 и 0,49 на 10 тыс. населения соответственно. Очевиден следующий факт: в последние годы произошел отток специалистов в частный сектор здравоохранения, за ними ушли профильные пациенты,  вследствие чего объективно снизилась обращаемость по данным государственного  статистического учета.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Данные о количестве врачей-косметологов официальная медицинская статистика  не указывает, что следует считать определенной проблемой организационного  характера. И здесь можно выделить две основные причины: 1. несовершенство статистических форм отчетности; 2. основная масса косметологических организаций  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находятся в частной собственности и централизованный сбор сведений для них не  ведется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 связи с тем, что профильная медицинская помощь не относится к программе  государственных гарантий.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Среди первичных обращений основную нагрузку базовая медицинская  организация выполняла по врачебной косметологии (85,7±0,3%), значительное место  15 занимала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дерматохирургия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(61,2%±0,5%), диагностическая косметология (13,8%±0,3%),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дерматокосметология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(10,2%±0,3%). Наибольшую группу пациентов составили лица,  впервые обратившиеся за консультациями, в среднем 150,5±6,2‰. Однако частота таких  обращений за три года уменьшилась в 1,2 раза.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Выявлено снижение первичной обращаемости в базовую медицинскую  организацию за три года - в 1,5 раза (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&lt; 0,01), что связано, в первую очередь, с  насыщением рынка на условной территории обслуживания, острой конкуренцией, недостатками в маркетинговой политике и ограничением мощности – кадровыми и  материально-техническими возможностями.  Несмотря на выявленную негативную динамику по первичной обращаемости в  целом, частота обращений по вопросам всей инъекционной косметологии увеличилась и  составила 37,5‰ – 41,8‰ – 55,6‰ соответственно за три года (44,2‰ –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среднеговой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уровень). Показатель первичной обращаемости по поводу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рос: 5,0 на  1000 пациентов - 10,6‰ – 28,5‰ соответственно (13,8‰ –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среднеговой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). В структуре  инъекционных процедур 13,3% - 25,9% - 60,8%, 31,2% -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среднеговой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показатель. Отмечено увеличение частоты общей обращаемости по поводу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за три  года в 5,7 раз,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&lt; 0,001, что связано с большой заинтересованностью пациентов в  данной услуге год от года. Доля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среди методов инъекционной  коррекции оказалась выше других и составила в среднем за год 31,2±3,8%. Основную  группу пациентов инъекционной терапии с применением препаратов БТА составили  женщины в возрасте 40-49 лет. В весенний период отмечалось максимальное число всех  обращений - 33%±4,0%. На одного пациента в среднем, приходилось 1,3 посещения по  поводу БТА и 1,9 области коррекции. Наиболее популярными зонами коррекции  оказались: межбровье (30,6±2,8%), наружный угол глаза (23,9±2,6%) и лба (16,5±2,3%).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Докоррекции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чаще подвергалось межбровье. На контрольный осмотр через 2 недели  пришли всего лишь 26% пациентов.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 четвертой главе</w:t>
      </w:r>
      <w:r w:rsidRPr="002F15FC">
        <w:rPr>
          <w:rFonts w:ascii="Tahoma" w:eastAsia="Times New Roman" w:hAnsi="Tahoma" w:cs="Tahoma"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 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исследования был составлен интегральный социально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гигиенический портрет, характеризующий пациентку косметологической клиники  города –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миллионника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Установлено, что это - женщина, в возрасте 30-49 лет (30-39 лет - 26,9±3,8%, 40-49 лет – 22,3±3,6%); проживающая в областном центре (87,6±2,9%), в  собственной квартире (87,5±2,9%); имеющая высшее образование (82,9±3,3%),  состоящая в браке (56,9±4,3%) имеющая одного-двух детей (68,5±4,0%); работающая по  16 найму (55,9±4,4%); в удовлетворительных условиях труда (84,6±3,1%);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с доходом более 21000р в месяц (50,4±4,3%,); регулярно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занимающаяся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спортом (37,0±4,2%); ежедневно  преодолевающая расстояние до 5 км пешком (68,5±4,1%). В половине случаев  пациентки имели нарушения со стороны сердца и сосудов (50,8±4,3%); сахарный диабет  (20,0±3,5%); гинекологические и урологические заболевания (16,5±3,3%); нарушения в  работе ЖКТ (26,9±3,8%); соматическую хроническую патологию (30,5±4,1%). Более  половины жаловались на проблемы с кожей (55,5±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4,4%) тр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ети случаев  консультировались у постоянного врача-косметолога (34,9±4,2%). Данная информация  может быть полезной в использовании на практике врачом-косметологом для  достижения адресности в работе, а также руководителем клиники – для адекватного  планирования маркетинговой политики и развития специализированной помощи  различных видов.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 пятой главе 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был разработан и внедрен Алгоритм выполнения процедуры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кожи верхней половины лица – как пошаговое выполнение данной  медицинской услуги. Алгоритм состоит из последовательного 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 xml:space="preserve">ряда стандартных  операционных процедур, каждая из которых содержит описание обязательных  манипуляций.  В рамках Алгоритма была разработана и апробирована шкала «Гармоничное  лицо», в основу которой были положены существующие шкалы GAIS,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Merz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Aesthetics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.  Она имеет описательную и графическую части и позволяет провести оценку  эффективности. Предлагается проведение оценки по 5 баллам трех зон лица, каждая из  которых оценивается в статике и динамике, т.е. всего с 6 позиций. Графическая часть  дополняется фотографией «Гармоничное лицо». С таблицей рекомендуется ознакомить  пациента - с целью повышения его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комплаентности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и степени удовлетворенности  результатами.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На основе представленного алгоритма, была создана математическая модель,  которая легла в основу Программы для ЭВМ, предназначенной для автоматизации  объективной оценки клинической эффективности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лица. Программа позволяет оперативно оценить  качество медицинской процедуры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, отражая его наглядно, графически  на всех этапах наблюдения. Она является инновационным инструментом в практике  врача эстетической медицины при оценке эффективности организации  косметологической помощи на примере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 исследовании было проведено анкетирование - по итогам внедрения  предложенного комплекса мер по совершенствованию организации оказания процедуры  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, для изучения удовлетворенности качеством медицинской услуги, выявившее очевидный социальный эффект. Анкетирование было анонимным, и по его  результатам все респонденты оказались удовлетворены оказанными услугами и  рекомендовали базовую медицинскую организацию другим пациентам.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Средний показатель ИКК составил: в случае статических морщин лба – 91,67%,  динамических – 76,67%; в случае статических морщин межбровья – 96,67%,  динамических – 85%; статических морщинах наружного угла глаза – 91,67%, при динамических – 73,33%. Несмотря на то, что эталонным показателем является результат  коррекции в 100%, результаты процедур соответствовали ожиданиям пациентов.</w:t>
      </w:r>
      <w:proofErr w:type="gramEnd"/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i/>
          <w:iCs/>
          <w:color w:val="0B5394"/>
          <w:sz w:val="24"/>
          <w:szCs w:val="24"/>
          <w:bdr w:val="none" w:sz="0" w:space="0" w:color="auto" w:frame="1"/>
          <w:lang w:eastAsia="ru-RU"/>
        </w:rPr>
        <w:t>В заключении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 проведено обобщение полученных научных результатов и  подведены итоги научного исследования.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ВЫВОДЫ</w:t>
      </w:r>
    </w:p>
    <w:p w:rsidR="002F15FC" w:rsidRPr="002F15FC" w:rsidRDefault="002F15FC" w:rsidP="002F15FC">
      <w:pPr>
        <w:numPr>
          <w:ilvl w:val="0"/>
          <w:numId w:val="2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На современном этапе развития косметологической помощи основными  проблемами ее осуществления и организации являются: отсутствие стандартов и  клинических рекомендаций по видам оказываемых услуг; отсутствие объективных методик оценки результатов оказанной специализированной помощи; несовершенство  статистического учета здоровья населения и деятельности медицинских организаций по  профилю «косметология».  19</w:t>
      </w:r>
    </w:p>
    <w:p w:rsidR="002F15FC" w:rsidRPr="002F15FC" w:rsidRDefault="002F15FC" w:rsidP="002F15FC">
      <w:pPr>
        <w:numPr>
          <w:ilvl w:val="0"/>
          <w:numId w:val="2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Изучение динамики заболеваемости по классу МКБ -10 «Болезни кожи и  подкожной клетчатки» и обеспеченности специалистами в Нижегородской области  показало рост частоты обращений за косметологической помощь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ю-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на фоне постарения  населения. В структуре первичной обращаемости за косметологическими услугами  ведущая роль принадлежит медицинской косметологии (85,7%), в первую очередь  удалению бородавок и папиллом (35,5% и 34,6% соответственно). Эстетическая  косметология составила 14,3% от общего числа косметологических услуг, оказанных базовой медицинской организацией за три года наблюдений, а доля инъекционных  процедур – 4,0% при значительном ежегодном увеличении данного показателя.  Среднегодовой уровень показателя первичной обращаемости за косметологическими  услугами составил 44,2‰, за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ботулинотерапией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- 13,8‰, с увеличением последнего в 5,7  раза за три года. Обращает на себя внимание высокий уровень оказания  консультативных услуг – 150,5‰.</w:t>
      </w:r>
    </w:p>
    <w:p w:rsidR="002F15FC" w:rsidRPr="002F15FC" w:rsidRDefault="002F15FC" w:rsidP="002F15FC">
      <w:pPr>
        <w:numPr>
          <w:ilvl w:val="0"/>
          <w:numId w:val="2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Среди услуг по инъекционным методам коррекции, оказываемых базовой  медицинской организацией, лидирующее место принадлежит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: их доля  составила 31,2%. Значительная доля обращаемости отмечается в зимне-весенний  период – 59,7%, из общего числа услуг 78,5% - составляли услуги с применением БТА.  На одного пациента с применением БТА приходилось 1,3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первичных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посещения и 1,9  области коррекции. Наиболее популярными областями оказались: межбровье, наружный  угол глаза и лоб, в сумме они составили 71,2% от общего числа применений БТА. При первичной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средняя доза препарата варьировала от 32 ед. до 13 ед. в  зависимости от области коррекции.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Докоррекция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требовалась в 10,4% случаев, в  основном – на межбровье, при средней дозировке 13 ед. Обращаемость зависела от  возраста и причины посещения: чаще всего - по поводу удаления новообразований в  группе женщин старше 40 лет; далее - по поводу возрастных изменений кожи у женщин  этой же возрастной группы.  </w:t>
      </w:r>
    </w:p>
    <w:p w:rsidR="002F15FC" w:rsidRPr="002F15FC" w:rsidRDefault="002F15FC" w:rsidP="002F15FC">
      <w:pPr>
        <w:numPr>
          <w:ilvl w:val="0"/>
          <w:numId w:val="2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Обобщенный медико-социальный портрет пациента косметологической  поликлиники города-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миллионника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можно представить следующим образом: женщина, в  возрасте 30-39 лет (26,9±3,8%); 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проживающая в областном центре (87,6±2,9%), в  собственной квартире (87,5±2,9%); имеющая высшее образование (82,9±3,3%),  состоящая в браке (56,9±4,3%) и имеющая одного-двух детей (68,5±4,0%); работающая  по найму (55,9±4,4%) в удовлетворительных условиях труда (84,6±3,1%);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с доходом  20 более 21000р в месяц (50,4±4,3%). Как правило, ночной сон ее составляет 7-8 часов  (79,2±3,6%). Она ежедневно преодолевает расстояние до 5 км пешком (68,5±4,1%) и  ездит отдыхать на море (53,3±12,9%). Больше половины пациенток имели нарушения со  стороны сердца и сосудов, у каждой пятой регистрировались сахарный диабет, реже - гинекологические и урологические заболевания (16,5±3,3%) и нарушения в работе ЖКТ  (26,9±3,8%). Активно курили 20,7±3,5% женщин, раздражительность отмечали  25,4±3,8% опрошенных. При анализе самооценки здоровья, типичная пациентка  оценивала его как хорошее, однако у 31,5±4,1% из них отмечались аллергические  реакции на косметические средства. У большинства женщин наблюдался  комбинированный тип кожи лица (третий тип кожи по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Фицпатрику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). Довольно редко  они пользовались солнцезащитными средствами (20,9±3,6%). Постоянного врача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косметолога имела каждая третья пациентка (34,9±4,2%).</w:t>
      </w:r>
    </w:p>
    <w:p w:rsidR="002F15FC" w:rsidRPr="002F15FC" w:rsidRDefault="002F15FC" w:rsidP="002F15FC">
      <w:pPr>
        <w:numPr>
          <w:ilvl w:val="0"/>
          <w:numId w:val="2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Комплекс научно-обоснованных организационных мероприятий, направленных  на совершенствование услуги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 половины лица основан на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этапности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ее оказания и включает: 1. проведение процедуры  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предложенного Алгоритма; 2. заполнение формы амбулаторной карты  пациента с использованием специального вкладыша описательной клинической картины  с балльной оценкой на каждом этапе; 3. объективную оценку результата процедуры с  помощью прикладной компьютерной программы на основе математического  моделирования, с использованием методики оценки по шкале «Гармоничное лицо»; 4.  обязательную последующую оценку удовлетворенности пациента оказанной  специализированной помощью. Предложенный комплекс мер был внедрен в  деятельность базовой медицинской организации и доказал 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медико-социальную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 эффективность.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ПРАКТИЧЕСКИЕ РЕКОМЕНДАЦИИ</w:t>
      </w:r>
    </w:p>
    <w:p w:rsidR="002F15FC" w:rsidRPr="002F15FC" w:rsidRDefault="002F15FC" w:rsidP="002F15FC">
      <w:pPr>
        <w:numPr>
          <w:ilvl w:val="0"/>
          <w:numId w:val="3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Учитывая значительный рост обращаемости за косметологическими услугами и  их высокую медико-социальную значимость для формирования качества жизни и  эффективного долголетия, организаторам здравоохранения федерального уровня в целях  получения достоверной информации для последующего статистического учета и возможностей внедрения системы </w:t>
      </w: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lastRenderedPageBreak/>
        <w:t>объективной оценки качества профильной  медицинской помощи и ее планирования рекомендуется разработка и внедрение единых  статистических форм, учитывающих сведения по специальности «косметология» для  21 организаций</w:t>
      </w:r>
      <w:proofErr w:type="gram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всех форм собственности. Необходимо нормативное закрепление  стандартов и клинических рекомендаций.</w:t>
      </w:r>
    </w:p>
    <w:p w:rsidR="002F15FC" w:rsidRPr="002F15FC" w:rsidRDefault="002F15FC" w:rsidP="002F15FC">
      <w:pPr>
        <w:numPr>
          <w:ilvl w:val="0"/>
          <w:numId w:val="3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Руководителям профильных медицинских общественных организаций и  руководителям косметологических клиник рекомендуется широкое внедрение  предложенного научно-обоснованного комплекса организационных мероприятий по совершенствованию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ботулинотерапии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возрастных изменений кожи верхней половины  лица, направленного на упорядочивание выполнения услуги и объективизацию оценки  ее результатов.</w:t>
      </w:r>
    </w:p>
    <w:p w:rsidR="002F15FC" w:rsidRPr="002F15FC" w:rsidRDefault="002F15FC" w:rsidP="002F15FC">
      <w:pPr>
        <w:numPr>
          <w:ilvl w:val="0"/>
          <w:numId w:val="3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Руководителям профильных медицинских общественных организаций и  руководителям косметологических клиник, а также образовательным организациям,  ведущим образовательную деятельность по программам дополнительного профессионального образования по специальности «косметология» рекомендуется шире  использовать возможности обучения врачей-косметологов методике оценки результатов  применения БТА на основе применения авторской компьютерной программы с  использованием деловых игр.</w:t>
      </w:r>
    </w:p>
    <w:p w:rsidR="002F15FC" w:rsidRPr="002F15FC" w:rsidRDefault="002F15FC" w:rsidP="002F15FC">
      <w:pPr>
        <w:numPr>
          <w:ilvl w:val="0"/>
          <w:numId w:val="3"/>
        </w:numPr>
        <w:spacing w:after="0" w:line="360" w:lineRule="atLeast"/>
        <w:ind w:left="600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Врачам-косметологам рекомендуется апробация и широкое использование на  практике предложенных организационных инноваций в целях повышения  эффективности процедуры БТА и удовлетворенности пациентов.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b/>
          <w:bCs/>
          <w:color w:val="0B5394"/>
          <w:sz w:val="24"/>
          <w:szCs w:val="24"/>
          <w:bdr w:val="none" w:sz="0" w:space="0" w:color="auto" w:frame="1"/>
          <w:lang w:eastAsia="ru-RU"/>
        </w:rPr>
        <w:t>СПИСОК ИСПОЛЬЗОВАННЫХ СОКРАЩЕНИЙ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БТА – ботулинический токсин типа</w:t>
      </w:r>
      <w:proofErr w:type="gram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ИКК – интегральный коэффициент качества</w:t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br/>
      </w:r>
    </w:p>
    <w:p w:rsidR="002F15FC" w:rsidRPr="002F15FC" w:rsidRDefault="002F15FC" w:rsidP="002F15FC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B5394"/>
          <w:sz w:val="24"/>
          <w:szCs w:val="24"/>
          <w:lang w:eastAsia="ru-RU"/>
        </w:rPr>
      </w:pPr>
      <w:hyperlink r:id="rId6" w:anchor="%D0%9A%D1%80%D0%B0%D1%81%D0%B8%D0%BB%D1%8C%D0%BD%D0%B8%D0%BA%D0%BE%D0%B2%D0%B0%D0%9E%D0%9D" w:history="1">
        <w:r w:rsidRPr="002F15FC">
          <w:rPr>
            <w:rFonts w:ascii="Tahoma" w:eastAsia="Times New Roman" w:hAnsi="Tahoma" w:cs="Tahoma"/>
            <w:color w:val="00FFFF"/>
            <w:sz w:val="24"/>
            <w:szCs w:val="24"/>
            <w:u w:val="single"/>
            <w:bdr w:val="none" w:sz="0" w:space="0" w:color="auto" w:frame="1"/>
            <w:lang w:eastAsia="ru-RU"/>
          </w:rPr>
          <w:t>Красильникова Ольга Николаевна</w:t>
        </w:r>
      </w:hyperlink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 – врач дерматолог, косметолог,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кондидат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медицинских наук клиники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Beauty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Vita</w:t>
      </w:r>
      <w:proofErr w:type="spellEnd"/>
      <w:r w:rsidRPr="002F15FC">
        <w:rPr>
          <w:rFonts w:ascii="Tahoma" w:eastAsia="Times New Roman" w:hAnsi="Tahoma" w:cs="Tahoma"/>
          <w:color w:val="0B5394"/>
          <w:sz w:val="24"/>
          <w:szCs w:val="24"/>
          <w:bdr w:val="none" w:sz="0" w:space="0" w:color="auto" w:frame="1"/>
          <w:lang w:eastAsia="ru-RU"/>
        </w:rPr>
        <w:t>.</w:t>
      </w:r>
    </w:p>
    <w:p w:rsidR="002F15FC" w:rsidRDefault="002F15FC"/>
    <w:sectPr w:rsidR="002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E8C"/>
    <w:multiLevelType w:val="multilevel"/>
    <w:tmpl w:val="82E8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2E66"/>
    <w:multiLevelType w:val="multilevel"/>
    <w:tmpl w:val="5B18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607DF"/>
    <w:multiLevelType w:val="multilevel"/>
    <w:tmpl w:val="277C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FC"/>
    <w:rsid w:val="002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1">
    <w:name w:val="cf1"/>
    <w:basedOn w:val="a0"/>
    <w:rsid w:val="002F15FC"/>
  </w:style>
  <w:style w:type="character" w:customStyle="1" w:styleId="fs12lh1-5">
    <w:name w:val="fs12lh1-5"/>
    <w:basedOn w:val="a0"/>
    <w:rsid w:val="002F15FC"/>
  </w:style>
  <w:style w:type="character" w:styleId="a3">
    <w:name w:val="Hyperlink"/>
    <w:basedOn w:val="a0"/>
    <w:uiPriority w:val="99"/>
    <w:semiHidden/>
    <w:unhideWhenUsed/>
    <w:rsid w:val="002F1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1">
    <w:name w:val="cf1"/>
    <w:basedOn w:val="a0"/>
    <w:rsid w:val="002F15FC"/>
  </w:style>
  <w:style w:type="character" w:customStyle="1" w:styleId="fs12lh1-5">
    <w:name w:val="fs12lh1-5"/>
    <w:basedOn w:val="a0"/>
    <w:rsid w:val="002F15FC"/>
  </w:style>
  <w:style w:type="character" w:styleId="a3">
    <w:name w:val="Hyperlink"/>
    <w:basedOn w:val="a0"/>
    <w:uiPriority w:val="99"/>
    <w:semiHidden/>
    <w:unhideWhenUsed/>
    <w:rsid w:val="002F1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8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auty-vita.ru/sta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2023-01-18T08:00:00Z</dcterms:created>
  <dcterms:modified xsi:type="dcterms:W3CDTF">2023-01-18T08:00:00Z</dcterms:modified>
</cp:coreProperties>
</file>